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18BA" w:rsidRPr="00FC143A" w:rsidRDefault="00FC143A">
      <w:pPr>
        <w:tabs>
          <w:tab w:val="right" w:leader="dot" w:pos="-1985"/>
          <w:tab w:val="left" w:pos="426"/>
          <w:tab w:val="right" w:leader="dot" w:pos="8505"/>
        </w:tabs>
        <w:rPr>
          <w:b/>
        </w:rPr>
      </w:pPr>
      <w:r w:rsidRPr="00FC143A">
        <w:rPr>
          <w:b/>
        </w:rPr>
        <w:t>Specyfikacja techniczna</w:t>
      </w:r>
    </w:p>
    <w:p w:rsidR="00FC143A" w:rsidRPr="00FC143A" w:rsidRDefault="00FC143A">
      <w:pPr>
        <w:tabs>
          <w:tab w:val="right" w:leader="dot" w:pos="-1985"/>
          <w:tab w:val="left" w:pos="426"/>
          <w:tab w:val="right" w:leader="dot" w:pos="8505"/>
        </w:tabs>
        <w:rPr>
          <w:b/>
        </w:rPr>
      </w:pPr>
      <w:r w:rsidRPr="00FC143A">
        <w:rPr>
          <w:b/>
        </w:rPr>
        <w:t>D-01</w:t>
      </w:r>
      <w:r w:rsidR="00B12A21">
        <w:rPr>
          <w:b/>
        </w:rPr>
        <w:t xml:space="preserve">.02.04 ROZBIÓRKA ELEMENTÓW DRÓG. </w:t>
      </w:r>
    </w:p>
    <w:p w:rsidR="000818BA" w:rsidRDefault="0022177B">
      <w:pPr>
        <w:pStyle w:val="Nagwek1"/>
      </w:pPr>
      <w:r>
        <w:t>1. WSTĘP</w:t>
      </w:r>
    </w:p>
    <w:p w:rsidR="000818BA" w:rsidRDefault="0022177B">
      <w:pPr>
        <w:pStyle w:val="Nagwek2"/>
      </w:pPr>
      <w:r w:rsidRPr="00FC143A">
        <w:t>1.1.</w:t>
      </w:r>
      <w:r>
        <w:t>Przedmiot OST</w:t>
      </w:r>
    </w:p>
    <w:p w:rsidR="00697B67" w:rsidRDefault="0022177B" w:rsidP="00697B67">
      <w:pPr>
        <w:pStyle w:val="Style7"/>
        <w:widowControl/>
        <w:spacing w:before="235"/>
        <w:rPr>
          <w:rStyle w:val="FontStyle16"/>
        </w:rPr>
      </w:pPr>
      <w:r>
        <w:rPr>
          <w:b/>
        </w:rPr>
        <w:tab/>
      </w:r>
      <w:r>
        <w:t>Przedmiotem niniejszej ogólnej specyfikacji technicznej (OST) są wymagania dotyczące wykonania i odbioru robót związanych z rozbiórką elementów dróg, ogrodzeń i przepustów</w:t>
      </w:r>
      <w:r w:rsidR="00FC143A">
        <w:t xml:space="preserve"> przy realizacji zadania pn. </w:t>
      </w:r>
      <w:r w:rsidR="00697B67">
        <w:rPr>
          <w:rStyle w:val="FontStyle17"/>
        </w:rPr>
        <w:t>„</w:t>
      </w:r>
      <w:r w:rsidR="00697B67">
        <w:rPr>
          <w:rStyle w:val="FontStyle16"/>
        </w:rPr>
        <w:t>Bieżące naprawy nawierzchni dróg i chodników w Giżycku – remonty nawierzchni z prefabrykatów, modernizacje i przebudowy nawierzchni”.</w:t>
      </w:r>
    </w:p>
    <w:p w:rsidR="000818BA" w:rsidRDefault="0022177B" w:rsidP="00697B67">
      <w:pPr>
        <w:tabs>
          <w:tab w:val="left" w:pos="0"/>
        </w:tabs>
      </w:pPr>
      <w:r>
        <w:t>1.2. Zakres stosowania OST</w:t>
      </w:r>
    </w:p>
    <w:p w:rsidR="000818BA" w:rsidRDefault="0022177B">
      <w:pPr>
        <w:tabs>
          <w:tab w:val="left" w:pos="0"/>
        </w:tabs>
      </w:pPr>
      <w:r>
        <w:tab/>
        <w:t>Ogólna specyfikacja techniczna (OST) stanowi obowiązującą podstawę opracowania szczegółowej specyfikacji technicznej (SST) stosowanej jako dokument przetargowy i kontraktowy przy zlecaniu i realizacji robót na drogach krajowych i wojewódzkich.</w:t>
      </w:r>
    </w:p>
    <w:p w:rsidR="000818BA" w:rsidRDefault="0022177B">
      <w:pPr>
        <w:tabs>
          <w:tab w:val="left" w:pos="0"/>
        </w:tabs>
      </w:pPr>
      <w:r>
        <w:tab/>
        <w:t>Zaleca się wykorzystanie OST przy zlecaniu robót na drogach miejskich i gminnych.</w:t>
      </w:r>
    </w:p>
    <w:p w:rsidR="000818BA" w:rsidRDefault="0022177B">
      <w:pPr>
        <w:pStyle w:val="Nagwek2"/>
      </w:pPr>
      <w:r>
        <w:t>1.3. Zakres robót objętych OST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rPr>
          <w:b/>
        </w:rPr>
        <w:tab/>
      </w:r>
      <w:r>
        <w:t>Ustalenia zawarte w niniejszej specyfikacji dotyczą zasad prowadzenia robót związanych z rozbiórką: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warstw nawierzchni,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krawężników, obrzeży i oporników,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ścieków,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 xml:space="preserve"> chodników,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ogrodzeń,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barier i poręczy,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znaków drogowych,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przepustów: betonowych, żelbetowych, kamiennych, ceglanych itp.</w:t>
      </w:r>
    </w:p>
    <w:p w:rsidR="000818BA" w:rsidRDefault="0022177B">
      <w:pPr>
        <w:pStyle w:val="Nagwek2"/>
      </w:pPr>
      <w:r>
        <w:t>1.4. Określenia podstawowe</w:t>
      </w:r>
    </w:p>
    <w:p w:rsidR="000818BA" w:rsidRDefault="0022177B">
      <w:pPr>
        <w:tabs>
          <w:tab w:val="left" w:pos="0"/>
        </w:tabs>
      </w:pPr>
      <w:r>
        <w:tab/>
        <w:t>Stosowane określenia podstawowe są zgodne z obowiązującymi, odpowiednimi polskimi normami oraz z definicjami podanymi w OST D-M-00.00.00 „Wymagania ogólne” pkt 1.4.</w:t>
      </w:r>
    </w:p>
    <w:p w:rsidR="000818BA" w:rsidRDefault="0022177B">
      <w:pPr>
        <w:pStyle w:val="Nagwek2"/>
      </w:pPr>
      <w:r>
        <w:t>1.5. Ogólne wymagania dotyczące robót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Ogólne wymagania dotyczące robót podano w OST D-M-00.00.00 „Wymagania ogólne” pkt 1.5.</w:t>
      </w:r>
    </w:p>
    <w:p w:rsidR="000818BA" w:rsidRDefault="0022177B">
      <w:pPr>
        <w:pStyle w:val="Nagwek1"/>
      </w:pPr>
      <w:r>
        <w:t>2. MATERIAŁY</w:t>
      </w:r>
    </w:p>
    <w:p w:rsidR="000818BA" w:rsidRDefault="0022177B">
      <w:pPr>
        <w:pStyle w:val="Nagwek2"/>
      </w:pPr>
      <w:r>
        <w:t>2.1. Ogólne wymagania dotyczące materiałów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rPr>
          <w:b/>
        </w:rPr>
        <w:tab/>
      </w:r>
      <w:r>
        <w:t>Ogólne wymagania dotyczące materiałów, ich pozyskiwania i składowania, podano w OST D-M-00.00.00 „Wymagania ogólne” pkt 2.</w:t>
      </w:r>
    </w:p>
    <w:p w:rsidR="000818BA" w:rsidRDefault="0022177B">
      <w:pPr>
        <w:pStyle w:val="Nagwek2"/>
      </w:pPr>
      <w:r>
        <w:t>2.2. Rusztowania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Rusztowania robocze przestawne przy rozbiórce przepustów mogą być wykonane z drewna lub rur stalowych w postaci: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rusztowań kozłowych, wysokości od 1,0 do 1,5 m, składających się z leżni z bali (np. 12,5 x 12,5 cm), nóg z krawędziaków (np. 7,6 x 7,6 cm), stężeń (np. 3,2 x 12,5 cm) i pomostu z desek,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rusztowań drabinowych, składających się z drabin (np. długości 6 m, szerokości 52 cm), usztywnionych stężeniami z desek (np. 3,2 x 12,5 cm), na których szczeblach (np. 3,2 x 6,3 cm) układa się pomosty z desek,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przestawnych klatek rusztowaniowych z rur stalowych średnicy od 38 do 63,5 mm, o wymiarach klatek około 1,2 x 1,5 m lub płaskich klatek rusztowaniowych (np. z rur stalowych średnicy 108 mm i kątowników 45 x 45 x 5 mm i 70 x 70 x 7 mm), o wymiarach klatek około 1,1 x 1,5 m,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rusztowań z rur stalowych średnicy od 33,5 do 76,1 mm połączonych łącznikami w ramownice i kratownice.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Rusztowanie należy wykonać z materiałów odpowiadających następującym normom: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drewno i tarcica wg PN-D-95017 [1], PN-D-96000 [2], PN-D-96002 [3] lub innej zaakceptowanej przez Inżyniera,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gwoździe wg BN-87/5028-12 [8],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rury stalowe wg PN-H-74219 [4], PN-H-74220 [5] lub innej zaakceptowanej przez Inżyniera,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kątowniki wg PN-H-93401[6], PN-H-93402 [7] lub innej zaakceptowanej przez Inżyniera.</w:t>
      </w:r>
    </w:p>
    <w:p w:rsidR="000818BA" w:rsidRDefault="0022177B">
      <w:pPr>
        <w:pStyle w:val="Nagwek1"/>
      </w:pPr>
      <w:r>
        <w:lastRenderedPageBreak/>
        <w:t>3. SPRZĘT</w:t>
      </w:r>
    </w:p>
    <w:p w:rsidR="000818BA" w:rsidRDefault="0022177B">
      <w:pPr>
        <w:pStyle w:val="Nagwek2"/>
      </w:pPr>
      <w:r>
        <w:t>3.1. Ogólne wymagania dotyczące sprzętu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Ogólne wymagania dotyczące sprzętu podano w OST D-M-00.00.00 „Wymagania ogólne” pkt 3.</w:t>
      </w:r>
    </w:p>
    <w:p w:rsidR="000818BA" w:rsidRDefault="0022177B">
      <w:pPr>
        <w:pStyle w:val="Nagwek2"/>
      </w:pPr>
      <w:r>
        <w:t>3.2. Sprzęt do rozbiórki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Do wykonania robót związanych z rozbiórką elementów dróg, ogrodzeń i przepustów może być wykorzystany sprzęt podany poniżej, lub inny zaakceptowany przez Inżyniera: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spycharki,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ładowarki,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żurawie samochodowe,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samochody ciężarowe,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zrywarki,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młoty pneumatyczne,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piły mechaniczne,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frezarki nawierzchni,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koparki.</w:t>
      </w:r>
    </w:p>
    <w:p w:rsidR="000818BA" w:rsidRDefault="0022177B">
      <w:pPr>
        <w:pStyle w:val="Nagwek1"/>
      </w:pPr>
      <w:r>
        <w:t>4. TRANSPORT</w:t>
      </w:r>
    </w:p>
    <w:p w:rsidR="000818BA" w:rsidRDefault="0022177B">
      <w:pPr>
        <w:pStyle w:val="Nagwek2"/>
      </w:pPr>
      <w:r>
        <w:t>4.1. Ogólne wymagania dotyczące transportu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Ogólne wymagania dotyczące transportu podano w OST D-M-00.00.00 „Wymagania ogólne” pkt 4.</w:t>
      </w:r>
    </w:p>
    <w:p w:rsidR="000818BA" w:rsidRDefault="0022177B">
      <w:pPr>
        <w:pStyle w:val="Nagwek2"/>
      </w:pPr>
      <w:r>
        <w:t>4.2. Transport materiałów z rozbiórki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Materiał z rozbiórki można przewozić dowolnym środkiem transportu.</w:t>
      </w:r>
    </w:p>
    <w:p w:rsidR="000818BA" w:rsidRDefault="0022177B">
      <w:pPr>
        <w:pStyle w:val="Nagwek1"/>
      </w:pPr>
      <w:r>
        <w:t>5. WYKONANIE ROBÓT</w:t>
      </w:r>
    </w:p>
    <w:p w:rsidR="000818BA" w:rsidRDefault="0022177B">
      <w:pPr>
        <w:pStyle w:val="Nagwek2"/>
      </w:pPr>
      <w:r>
        <w:t>5.1. Ogólne zasady wykonania robót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Ogólne zasady wykonania robót podano w OST D-M-00.00.00 „Wymagania ogólne” pkt 5.</w:t>
      </w:r>
    </w:p>
    <w:p w:rsidR="000818BA" w:rsidRDefault="0022177B">
      <w:pPr>
        <w:pStyle w:val="Nagwek2"/>
      </w:pPr>
      <w:r>
        <w:t>5.2. Wykonanie robót rozbiórkowych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Roboty rozbiórkowe elementów dróg, ogrodzeń i przepustów obejmują usunięcie z terenu budowy wszystkich elementów wymienionych w pkt 1.3, zgodnie z dokumentacją projektową, SST lub wskazanych przez Inżyniera.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Jeśli dokumentacja projektowa nie zawiera dokumentacji inwentaryzacyjnej lub/i rozbiórkowej, Inżynier może polecić Wykonawcy sporządzenie takiej dokumentacji, w której zostanie określony przewidziany odzysk materiałów.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Roboty rozbiórkowe można wykonywać mechanicznie lub ręcznie w sposób określony w SST lub przez Inżyniera.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W przypadku usuwania warstw nawierzchni z zastosowaniem frezarek drogowych, należy spełnić warunki określone w OST D-05.03.11 „Recykling”.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W przypadku robót rozbiórkowych przepustu należy dokonać: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odkopania przepustu,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ew. ustawienia przenośnych rusztowań przy przepustach wyższych od około 2 m,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rozbicia elementów, których nie przewiduje się odzyskać, w sposób ręczny lub mechaniczny z ew. przecięciem prętów zbrojeniowych i ich odgięciem,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demontażu prefabrykowanych elementów przepustów (np. rur, elementów skrzynkowych, ramowych) z uprzednim oczyszczeniem spoin i częściowym usunięciu ław, względnie ostrożnego rozebrania konstrukcji kamiennych, ceglanych, klinkierowych itp. przy założeniu ponownego ich wykorzystania,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oczyszczenia rozebranych elementów, przewidzianych do powtórnego użycia                      (z zaprawy, kawałków betonu, izolacji itp.) i ich posortowania.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Wszystkie elementy możliwe do powtórnego wykorzystania powinny być usuwane bez powodowania zbędnych uszkodzeń. O ile uzyskane elementy nie stają się własnością Wykonawcy, powinien on przewieźć je na miejsce określone w SST lub wskazane przez Inżyniera.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Elementy i materiały, które zgodnie z SST stają się własnością Wykonawcy, powinny być usunięte z terenu budowy.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Doły (wykopy) powstałe po rozbiórce elementów dróg, ogrodzeń i przepustów znajdujące się w miejscach, gdzie zgodnie z dokumentacją projektową będą wykonane wykopy drogowe, powinny być tymczasowo zabezpieczone. W szczególności należy zapobiec gromadzeniu się w nich wody opadowej.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Doły w miejscach, gdzie nie przewiduje się wykonania wykopów drogowych należy wypełnić, warstwami, odpowiednim gruntem do poziomu otaczającego terenu i zagęścić zgodnie z wymaganiami określonymi w OST D-02.00.00 „Roboty ziemne”.</w:t>
      </w:r>
    </w:p>
    <w:p w:rsidR="000818BA" w:rsidRDefault="0022177B">
      <w:pPr>
        <w:pStyle w:val="Nagwek1"/>
      </w:pPr>
      <w:r>
        <w:t>6. KONTROLA JAKOŚCI ROBÓT</w:t>
      </w:r>
    </w:p>
    <w:p w:rsidR="000818BA" w:rsidRDefault="0022177B">
      <w:pPr>
        <w:pStyle w:val="Nagwek2"/>
      </w:pPr>
      <w:r>
        <w:t>6.1. Ogólne zasady kontroli jakości robót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Ogólne zasady kontroli jakości robót podano w OST D-M-00.00.00 „Wymagania ogólne” pkt 6.</w:t>
      </w:r>
    </w:p>
    <w:p w:rsidR="000818BA" w:rsidRDefault="0022177B">
      <w:pPr>
        <w:pStyle w:val="Nagwek2"/>
      </w:pPr>
      <w:r>
        <w:t>6.2. Kontrola jakości robót rozbiórkowych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Kontrola jakości robót polega na wizualnej ocenie kompletności wykonanych robót rozbiórkowych oraz sprawdzeniu stopnia uszkodzenia elementów przewidzianych do powtórnego wykorzystania.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Zagęszczenie gruntu wypełniającego ewentualne doły po usuniętych elementach nawierzchni, ogrodzeń i przepustów powinno spełniać odpowiednie wymagania określone w OST D-02.00.00 „Roboty ziemne”.</w:t>
      </w:r>
    </w:p>
    <w:p w:rsidR="000818BA" w:rsidRDefault="0022177B">
      <w:pPr>
        <w:pStyle w:val="Nagwek1"/>
      </w:pPr>
      <w:r>
        <w:t>7. OBMIAR ROBÓT</w:t>
      </w:r>
    </w:p>
    <w:p w:rsidR="000818BA" w:rsidRDefault="0022177B">
      <w:pPr>
        <w:pStyle w:val="Nagwek2"/>
      </w:pPr>
      <w:r>
        <w:t>7.1. Ogólne zasady obmiaru robót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rPr>
          <w:b/>
        </w:rPr>
        <w:tab/>
      </w:r>
      <w:r>
        <w:t>Ogólne zasady obmiaru robót podano w OST D-M-00.00.00 „Wymagania ogólne”     pkt 7.</w:t>
      </w:r>
    </w:p>
    <w:p w:rsidR="000818BA" w:rsidRDefault="0022177B">
      <w:pPr>
        <w:pStyle w:val="Nagwek2"/>
      </w:pPr>
      <w:r>
        <w:t>7.2. Jednostka obmiarowa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rPr>
          <w:b/>
        </w:rPr>
        <w:tab/>
      </w:r>
      <w:r>
        <w:t>Jednostką obmiarową robót związanych z rozbiórką elementów dróg i ogrodzeń jest: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dla nawierzchni i chodnika - m</w:t>
      </w:r>
      <w:r>
        <w:rPr>
          <w:vertAlign w:val="superscript"/>
        </w:rPr>
        <w:t>2</w:t>
      </w:r>
      <w:r>
        <w:t xml:space="preserve"> (metr kwadratowy),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dla krawężnika, opornika, obrzeża, ścieków prefabrykowanych, ogrodzeń, barier i poręczy - m (metr),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dla znaków drogowych - szt. (sztuka),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dla przepustów i ich elementów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a) betonowych, kamiennych, ceglanych - m</w:t>
      </w:r>
      <w:r>
        <w:rPr>
          <w:vertAlign w:val="superscript"/>
        </w:rPr>
        <w:t>3</w:t>
      </w:r>
      <w:r>
        <w:t xml:space="preserve"> (metr sześcienny),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b) prefabrykowanych betonowych, żelbetowych - m (metr).</w:t>
      </w:r>
    </w:p>
    <w:p w:rsidR="000818BA" w:rsidRDefault="0022177B">
      <w:pPr>
        <w:pStyle w:val="Nagwek1"/>
      </w:pPr>
      <w:r>
        <w:t>8. ODBIÓR ROBÓT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rPr>
          <w:b/>
        </w:rPr>
        <w:tab/>
      </w:r>
      <w:r>
        <w:t>Ogólne zasady odbioru robót podano w OST D-M-00.00.00 „Wymagania ogólne”            pkt 8.</w:t>
      </w:r>
    </w:p>
    <w:p w:rsidR="000818BA" w:rsidRDefault="0022177B">
      <w:pPr>
        <w:pStyle w:val="Nagwek1"/>
      </w:pPr>
      <w:r>
        <w:t>9. PODSTAWA PŁATNOŚCI</w:t>
      </w:r>
    </w:p>
    <w:p w:rsidR="000818BA" w:rsidRDefault="0022177B">
      <w:pPr>
        <w:pStyle w:val="Nagwek2"/>
      </w:pPr>
      <w:r>
        <w:t>9.1. Ogólne ustalenia dotyczące podstawy płatności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rPr>
          <w:b/>
        </w:rPr>
        <w:tab/>
      </w:r>
      <w:r>
        <w:t>Ogólne ustalenia dotyczące podstawy płatności podano w OST D-M-00.00.00 „Wymagania ogólne” pkt 9.</w:t>
      </w:r>
    </w:p>
    <w:p w:rsidR="000818BA" w:rsidRDefault="0022177B">
      <w:pPr>
        <w:pStyle w:val="Nagwek2"/>
      </w:pPr>
      <w:r>
        <w:t>9.2. Cena jednostki obmiarowej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ab/>
        <w:t>Cena wykonania robót obejmuje: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>a) dla rozbiórki warstw nawierzchni: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wyznaczenie powierzchni przeznaczonej do rozbiórki,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rozkucie i zerwanie nawierzchni,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ew. przesortowanie materiału uzyskanego z rozbiórki, w celu ponownego jej użycia, z ułożeniem na poboczu,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załadunek i wywiezienie materiałów z rozbiórki,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wyrównanie podłoża i uporządkowanie terenu rozbiórki;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>b) dla rozbiórki krawężników, obrzeży i oporników: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odkopanie krawężników, obrzeży i oporników wraz z wyjęciem i oczyszczeniem,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zerwanie podsypki cementowo-piaskowej i ew. ław,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załadunek i wywiezienie materiału z rozbiórki,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wyrównanie podłoża i uporządkowanie terenu rozbiórki;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>c) dla rozbiórki ścieku: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odsłonięcie ścieku,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ręczne wyjęcie elementów ściekowych wraz z oczyszczeniem,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ew. przesortowanie materiału uzyskanego z rozbiórki, w celu ponownego jego użycia, z ułożeniem na poboczu,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zerwanie podsypki cementowo-piaskowej,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uzupełnienie i wyrównanie podłoża,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załadunek i wywóz materiałów z rozbiórki,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uporządkowanie terenu rozbiórki;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>d) dla rozbiórki chodników: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ręczne wyjęcie płyt chodnikowych, lub rozkucie i zerwanie innych materiałów chodnikowych,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ew. przesortowanie materiału uzyskanego z rozbiórki w celu ponownego jego użycia, z ułożeniem na poboczu,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zerwanie podsypki cementowo-piaskowej,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załadunek i wywiezienie materiałów z rozbiórki,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wyrównanie podłoża i uporządkowanie terenu rozbiórki;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>e) dla rozbiórki ogrodzeń: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demontaż elementów ogrodzenia,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odkopanie i wydobycie słupków wraz z fundamentem,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 xml:space="preserve">zasypanie dołów po słupkach z zagęszczeniem do uzyskania Is </w:t>
      </w:r>
      <w:r>
        <w:sym w:font="Symbol" w:char="F0B3"/>
      </w:r>
      <w:r>
        <w:t xml:space="preserve"> 1,00 wg BN-77/8931-12 [9],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ew. przesortowanie materiału uzyskanego z rozbiórki, w celu ponownego jego użycia, z ułożeniem w stosy na poboczu,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załadunek i wywiezienie materiałów z rozbiórki,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uporządkowanie terenu rozbiórki;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>f) dla rozbiórki barier i poręczy: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demontaż elementów bariery lub poręczy,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odkopanie i wydobycie słupków wraz z fundamentem,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 xml:space="preserve">zasypanie dołów po słupkach wraz z zagęszczeniem do uzyskania Is </w:t>
      </w:r>
      <w:r>
        <w:sym w:font="Symbol" w:char="F0B3"/>
      </w:r>
      <w:r>
        <w:t xml:space="preserve"> 1,00 wg BN-77/8931-12 [9],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załadunek i wywiezienie materiałów z rozbiórki,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uporządkowanie terenu rozbiórki;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>g) dla rozbiórki znaków drogowych: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demontaż tablic znaków drogowych ze słupków,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odkopanie i wydobycie słupków,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 xml:space="preserve">zasypanie dołów po słupkach wraz z zagęszczeniem do uzyskania Is </w:t>
      </w:r>
      <w:r>
        <w:sym w:font="Symbol" w:char="F0B3"/>
      </w:r>
      <w:r>
        <w:t xml:space="preserve"> 1,00 wg BN-77/8931-12 [9],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załadunek i wywiezienie materiałów z rozbiórki,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uporządkowanie terenu rozbiórki;</w:t>
      </w:r>
    </w:p>
    <w:p w:rsidR="000818BA" w:rsidRDefault="0022177B">
      <w:pPr>
        <w:tabs>
          <w:tab w:val="right" w:leader="dot" w:pos="-1985"/>
          <w:tab w:val="left" w:pos="426"/>
          <w:tab w:val="right" w:leader="dot" w:pos="8505"/>
        </w:tabs>
      </w:pPr>
      <w:r>
        <w:t>h) dla rozbiórki przepustu: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odkopanie przepustu, fundamentów, ław, umocnień itp.,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ew. ustawienie rusztowań i ich późniejsze rozebranie,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rozebranie elementów przepustu,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sortowanie i pryzmowanie odzyskanych materiałów,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załadunek i wywiezienie materiałów z rozbiórki,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 xml:space="preserve">zasypanie dołów (wykopów) gruntem z zagęszczeniem do uzyskania Is </w:t>
      </w:r>
      <w:r>
        <w:sym w:font="Symbol" w:char="F0B3"/>
      </w:r>
      <w:r>
        <w:t xml:space="preserve"> 1,00 wg BN-77/8931-12 [9],</w:t>
      </w:r>
    </w:p>
    <w:p w:rsidR="000818BA" w:rsidRDefault="0022177B" w:rsidP="0022177B">
      <w:pPr>
        <w:numPr>
          <w:ilvl w:val="0"/>
          <w:numId w:val="2"/>
        </w:numPr>
        <w:tabs>
          <w:tab w:val="right" w:leader="dot" w:pos="-1985"/>
          <w:tab w:val="left" w:pos="426"/>
          <w:tab w:val="right" w:leader="dot" w:pos="8505"/>
        </w:tabs>
      </w:pPr>
      <w:r>
        <w:t>uporządkowanie terenu rozbiórki.</w:t>
      </w:r>
    </w:p>
    <w:p w:rsidR="000818BA" w:rsidRDefault="0022177B">
      <w:pPr>
        <w:pStyle w:val="Nagwek1"/>
      </w:pPr>
      <w:r>
        <w:t>10. PRZEPISY ZWIĄZANE</w:t>
      </w:r>
    </w:p>
    <w:p w:rsidR="000818BA" w:rsidRDefault="0022177B">
      <w:pPr>
        <w:pStyle w:val="Nagwek2"/>
        <w:spacing w:before="0"/>
      </w:pPr>
      <w:r>
        <w:t>Normy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496"/>
        <w:gridCol w:w="2551"/>
        <w:gridCol w:w="4394"/>
      </w:tblGrid>
      <w:tr w:rsidR="000818BA">
        <w:tc>
          <w:tcPr>
            <w:tcW w:w="496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  <w:jc w:val="center"/>
            </w:pPr>
            <w:r>
              <w:t>1.</w:t>
            </w:r>
          </w:p>
        </w:tc>
        <w:tc>
          <w:tcPr>
            <w:tcW w:w="2551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PN-D-95017</w:t>
            </w:r>
          </w:p>
        </w:tc>
        <w:tc>
          <w:tcPr>
            <w:tcW w:w="4394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Surowiec drzewny. Drewno tartaczne iglaste.</w:t>
            </w:r>
          </w:p>
        </w:tc>
      </w:tr>
      <w:tr w:rsidR="000818BA">
        <w:tc>
          <w:tcPr>
            <w:tcW w:w="496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  <w:jc w:val="center"/>
            </w:pPr>
            <w:r>
              <w:t>2.</w:t>
            </w:r>
          </w:p>
        </w:tc>
        <w:tc>
          <w:tcPr>
            <w:tcW w:w="2551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PN-D-96000</w:t>
            </w:r>
          </w:p>
        </w:tc>
        <w:tc>
          <w:tcPr>
            <w:tcW w:w="4394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Tarcica iglasta ogólnego przeznaczenia</w:t>
            </w:r>
          </w:p>
        </w:tc>
      </w:tr>
      <w:tr w:rsidR="000818BA">
        <w:tc>
          <w:tcPr>
            <w:tcW w:w="496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  <w:jc w:val="center"/>
            </w:pPr>
            <w:r>
              <w:t>3.</w:t>
            </w:r>
          </w:p>
        </w:tc>
        <w:tc>
          <w:tcPr>
            <w:tcW w:w="2551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PN-D-96002</w:t>
            </w:r>
          </w:p>
        </w:tc>
        <w:tc>
          <w:tcPr>
            <w:tcW w:w="4394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Tarcica liściasta ogólnego przeznaczenia</w:t>
            </w:r>
          </w:p>
        </w:tc>
      </w:tr>
      <w:tr w:rsidR="000818BA">
        <w:tc>
          <w:tcPr>
            <w:tcW w:w="496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  <w:jc w:val="center"/>
            </w:pPr>
            <w:r>
              <w:t>4.</w:t>
            </w:r>
          </w:p>
        </w:tc>
        <w:tc>
          <w:tcPr>
            <w:tcW w:w="2551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PN-H-74219</w:t>
            </w:r>
          </w:p>
        </w:tc>
        <w:tc>
          <w:tcPr>
            <w:tcW w:w="4394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Rury stalowe bez szwu walcowane na gorąco ogólnego stosowania</w:t>
            </w:r>
          </w:p>
        </w:tc>
      </w:tr>
      <w:tr w:rsidR="000818BA">
        <w:tc>
          <w:tcPr>
            <w:tcW w:w="496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  <w:jc w:val="center"/>
            </w:pPr>
            <w:r>
              <w:t>5.</w:t>
            </w:r>
          </w:p>
        </w:tc>
        <w:tc>
          <w:tcPr>
            <w:tcW w:w="2551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PN-H-74220</w:t>
            </w:r>
          </w:p>
        </w:tc>
        <w:tc>
          <w:tcPr>
            <w:tcW w:w="4394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Rury stalowe bez szwu ciągnione i walcowane na zimno ogólnego przeznaczenia</w:t>
            </w:r>
          </w:p>
        </w:tc>
      </w:tr>
      <w:tr w:rsidR="000818BA">
        <w:tc>
          <w:tcPr>
            <w:tcW w:w="496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  <w:jc w:val="center"/>
            </w:pPr>
            <w:r>
              <w:t>6.</w:t>
            </w:r>
          </w:p>
        </w:tc>
        <w:tc>
          <w:tcPr>
            <w:tcW w:w="2551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PN-H-93401</w:t>
            </w:r>
          </w:p>
        </w:tc>
        <w:tc>
          <w:tcPr>
            <w:tcW w:w="4394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Stal walcowana. Kątowniki równoramienne</w:t>
            </w:r>
          </w:p>
        </w:tc>
      </w:tr>
      <w:tr w:rsidR="000818BA">
        <w:tc>
          <w:tcPr>
            <w:tcW w:w="496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  <w:jc w:val="center"/>
            </w:pPr>
            <w:r>
              <w:t>7.</w:t>
            </w:r>
          </w:p>
        </w:tc>
        <w:tc>
          <w:tcPr>
            <w:tcW w:w="2551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PN-H-93402</w:t>
            </w:r>
          </w:p>
        </w:tc>
        <w:tc>
          <w:tcPr>
            <w:tcW w:w="4394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Kątowniki nierównoramienne stalowe walcowane na gorąco</w:t>
            </w:r>
          </w:p>
        </w:tc>
      </w:tr>
      <w:tr w:rsidR="000818BA">
        <w:tc>
          <w:tcPr>
            <w:tcW w:w="496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  <w:jc w:val="center"/>
            </w:pPr>
            <w:r>
              <w:t>8.</w:t>
            </w:r>
          </w:p>
        </w:tc>
        <w:tc>
          <w:tcPr>
            <w:tcW w:w="2551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BN-87/5028-12</w:t>
            </w:r>
          </w:p>
        </w:tc>
        <w:tc>
          <w:tcPr>
            <w:tcW w:w="4394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Gwoździe budowlane. Gwoździe z trzpieniem gładkim, okrągłym i kwadratowym</w:t>
            </w:r>
          </w:p>
        </w:tc>
      </w:tr>
      <w:tr w:rsidR="000818BA">
        <w:tc>
          <w:tcPr>
            <w:tcW w:w="496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  <w:jc w:val="center"/>
            </w:pPr>
            <w:r>
              <w:t>9.</w:t>
            </w:r>
          </w:p>
        </w:tc>
        <w:tc>
          <w:tcPr>
            <w:tcW w:w="2551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BN-77/8931-12</w:t>
            </w:r>
          </w:p>
        </w:tc>
        <w:tc>
          <w:tcPr>
            <w:tcW w:w="4394" w:type="dxa"/>
          </w:tcPr>
          <w:p w:rsidR="000818BA" w:rsidRDefault="0022177B">
            <w:pPr>
              <w:tabs>
                <w:tab w:val="right" w:leader="dot" w:pos="-1985"/>
                <w:tab w:val="left" w:pos="426"/>
                <w:tab w:val="right" w:leader="dot" w:pos="8505"/>
              </w:tabs>
            </w:pPr>
            <w:r>
              <w:t>Oznaczenie wskaźnika zagęszczenia gruntu.</w:t>
            </w:r>
          </w:p>
        </w:tc>
      </w:tr>
    </w:tbl>
    <w:p w:rsidR="000818BA" w:rsidRDefault="000818BA">
      <w:pPr>
        <w:pStyle w:val="tekstost"/>
      </w:pPr>
    </w:p>
    <w:sectPr w:rsidR="000818BA" w:rsidSect="00922296">
      <w:footerReference w:type="default" r:id="rId8"/>
      <w:pgSz w:w="11907" w:h="16840" w:code="9"/>
      <w:pgMar w:top="1418" w:right="1021" w:bottom="992" w:left="1021" w:header="0" w:footer="0" w:gutter="0"/>
      <w:cols w:space="708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4D46" w:rsidRDefault="00864D46">
      <w:r>
        <w:separator/>
      </w:r>
    </w:p>
  </w:endnote>
  <w:endnote w:type="continuationSeparator" w:id="0">
    <w:p w:rsidR="00864D46" w:rsidRDefault="00864D4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1" w:fontKey="{64D5EB81-B285-47F3-8343-D2C652582D95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2" w:fontKey="{B6293BD0-472D-413D-B3DF-2A36956931E9}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  <w:embedRegular r:id="rId3" w:fontKey="{8C798E0A-E5B9-4C0B-881D-30AF3E0905C2}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  <w:embedRegular r:id="rId4" w:fontKey="{F9B24D05-5F99-4263-96BE-E35C08871476}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  <w:embedRegular r:id="rId5" w:fontKey="{A50DDAA2-224C-469D-9364-5E84CB9AB428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19140109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922296" w:rsidRDefault="00922296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864D46" w:rsidRPr="00864D46">
            <w:rPr>
              <w:rFonts w:asciiTheme="majorHAnsi" w:hAnsiTheme="majorHAnsi"/>
              <w:noProof/>
              <w:sz w:val="28"/>
              <w:szCs w:val="28"/>
            </w:rPr>
            <w:t>1</w:t>
          </w:r>
        </w:fldSimple>
      </w:p>
    </w:sdtContent>
  </w:sdt>
  <w:p w:rsidR="009349E8" w:rsidRDefault="009349E8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4D46" w:rsidRDefault="00864D46">
      <w:r>
        <w:separator/>
      </w:r>
    </w:p>
  </w:footnote>
  <w:footnote w:type="continuationSeparator" w:id="0">
    <w:p w:rsidR="00864D46" w:rsidRDefault="00864D4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83ACD0FE"/>
    <w:lvl w:ilvl="0">
      <w:numFmt w:val="bullet"/>
      <w:lvlText w:val="*"/>
      <w:lvlJc w:val="left"/>
    </w:lvl>
  </w:abstractNum>
  <w:abstractNum w:abstractNumId="1">
    <w:nsid w:val="086A7F02"/>
    <w:multiLevelType w:val="singleLevel"/>
    <w:tmpl w:val="5372C68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">
    <w:nsid w:val="10374A8B"/>
    <w:multiLevelType w:val="singleLevel"/>
    <w:tmpl w:val="5372C68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>
    <w:nsid w:val="5E8840D9"/>
    <w:multiLevelType w:val="singleLevel"/>
    <w:tmpl w:val="5372C68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4">
    <w:nsid w:val="7D83699A"/>
    <w:multiLevelType w:val="singleLevel"/>
    <w:tmpl w:val="19482E12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num w:numId="1">
    <w:abstractNumId w:val="1"/>
  </w:num>
  <w:num w:numId="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attachedTemplate r:id="rId1"/>
  <w:defaultTabStop w:val="709"/>
  <w:hyphenationZone w:val="425"/>
  <w:drawingGridHorizontalSpacing w:val="100"/>
  <w:drawingGridVerticalSpacing w:val="120"/>
  <w:displayHorizontalDrawingGridEvery w:val="2"/>
  <w:displayVerticalDrawingGridEvery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</w:compat>
  <w:rsids>
    <w:rsidRoot w:val="0022177B"/>
    <w:rsid w:val="00015CE8"/>
    <w:rsid w:val="000818BA"/>
    <w:rsid w:val="000C69B1"/>
    <w:rsid w:val="000E3348"/>
    <w:rsid w:val="0015028E"/>
    <w:rsid w:val="0022177B"/>
    <w:rsid w:val="003050EF"/>
    <w:rsid w:val="00393B4C"/>
    <w:rsid w:val="005C7666"/>
    <w:rsid w:val="00697B67"/>
    <w:rsid w:val="00864D46"/>
    <w:rsid w:val="00887038"/>
    <w:rsid w:val="00922296"/>
    <w:rsid w:val="009349E8"/>
    <w:rsid w:val="009E4EA7"/>
    <w:rsid w:val="009F703B"/>
    <w:rsid w:val="00A95C82"/>
    <w:rsid w:val="00AA20BD"/>
    <w:rsid w:val="00B12A21"/>
    <w:rsid w:val="00BC1F15"/>
    <w:rsid w:val="00C6731F"/>
    <w:rsid w:val="00D279FB"/>
    <w:rsid w:val="00D80745"/>
    <w:rsid w:val="00DA6A26"/>
    <w:rsid w:val="00E876E1"/>
    <w:rsid w:val="00FC14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aliases w:val="tekst"/>
    <w:qFormat/>
    <w:rsid w:val="000818BA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0818BA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0818BA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0818BA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0818BA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0818BA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0818BA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0818BA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0818BA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0818BA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0818BA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0818BA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0818BA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semiHidden/>
    <w:rsid w:val="000818BA"/>
  </w:style>
  <w:style w:type="paragraph" w:customStyle="1" w:styleId="StylIwony">
    <w:name w:val="Styl Iwony"/>
    <w:basedOn w:val="Normalny"/>
    <w:rsid w:val="000818BA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semiHidden/>
    <w:rsid w:val="000818BA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link w:val="StopkaZnak"/>
    <w:uiPriority w:val="99"/>
    <w:rsid w:val="000818BA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0818BA"/>
  </w:style>
  <w:style w:type="paragraph" w:customStyle="1" w:styleId="tekstost">
    <w:name w:val="tekst ost"/>
    <w:basedOn w:val="Normalny"/>
    <w:rsid w:val="000818BA"/>
  </w:style>
  <w:style w:type="character" w:styleId="Odwoanieprzypisudolnego">
    <w:name w:val="footnote reference"/>
    <w:basedOn w:val="Domylnaczcionkaakapitu"/>
    <w:semiHidden/>
    <w:rsid w:val="000818BA"/>
    <w:rPr>
      <w:vertAlign w:val="superscript"/>
    </w:rPr>
  </w:style>
  <w:style w:type="paragraph" w:customStyle="1" w:styleId="Standardowytekst">
    <w:name w:val="Standardowy.tekst"/>
    <w:rsid w:val="000818BA"/>
    <w:pPr>
      <w:overflowPunct w:val="0"/>
      <w:autoSpaceDE w:val="0"/>
      <w:autoSpaceDN w:val="0"/>
      <w:adjustRightInd w:val="0"/>
      <w:jc w:val="both"/>
      <w:textAlignment w:val="baseline"/>
    </w:pPr>
  </w:style>
  <w:style w:type="character" w:customStyle="1" w:styleId="StopkaZnak">
    <w:name w:val="Stopka Znak"/>
    <w:basedOn w:val="Domylnaczcionkaakapitu"/>
    <w:link w:val="Stopka"/>
    <w:uiPriority w:val="99"/>
    <w:rsid w:val="00D279FB"/>
  </w:style>
  <w:style w:type="paragraph" w:styleId="Tekstdymka">
    <w:name w:val="Balloon Text"/>
    <w:basedOn w:val="Normalny"/>
    <w:link w:val="TekstdymkaZnak"/>
    <w:uiPriority w:val="99"/>
    <w:semiHidden/>
    <w:unhideWhenUsed/>
    <w:rsid w:val="00D279FB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279FB"/>
    <w:rPr>
      <w:rFonts w:ascii="Tahoma" w:hAnsi="Tahoma" w:cs="Tahoma"/>
      <w:sz w:val="16"/>
      <w:szCs w:val="16"/>
    </w:rPr>
  </w:style>
  <w:style w:type="paragraph" w:customStyle="1" w:styleId="Style5">
    <w:name w:val="Style5"/>
    <w:basedOn w:val="Normalny"/>
    <w:uiPriority w:val="99"/>
    <w:rsid w:val="00D279FB"/>
    <w:pPr>
      <w:widowControl w:val="0"/>
      <w:overflowPunct/>
      <w:jc w:val="left"/>
      <w:textAlignment w:val="auto"/>
    </w:pPr>
    <w:rPr>
      <w:rFonts w:eastAsiaTheme="minorEastAsia"/>
      <w:sz w:val="24"/>
      <w:szCs w:val="24"/>
    </w:rPr>
  </w:style>
  <w:style w:type="character" w:customStyle="1" w:styleId="FontStyle18">
    <w:name w:val="Font Style18"/>
    <w:basedOn w:val="Domylnaczcionkaakapitu"/>
    <w:uiPriority w:val="99"/>
    <w:rsid w:val="00D279FB"/>
    <w:rPr>
      <w:rFonts w:ascii="Times New Roman" w:hAnsi="Times New Roman" w:cs="Times New Roman" w:hint="default"/>
      <w:i/>
      <w:iCs/>
      <w:color w:val="000000"/>
      <w:sz w:val="18"/>
      <w:szCs w:val="18"/>
    </w:rPr>
  </w:style>
  <w:style w:type="character" w:customStyle="1" w:styleId="FontStyle14">
    <w:name w:val="Font Style14"/>
    <w:basedOn w:val="Domylnaczcionkaakapitu"/>
    <w:uiPriority w:val="99"/>
    <w:rsid w:val="00D279FB"/>
    <w:rPr>
      <w:rFonts w:ascii="Times New Roman" w:hAnsi="Times New Roman" w:cs="Times New Roman" w:hint="default"/>
      <w:i/>
      <w:iCs/>
      <w:color w:val="000000"/>
      <w:sz w:val="20"/>
      <w:szCs w:val="20"/>
    </w:rPr>
  </w:style>
  <w:style w:type="paragraph" w:customStyle="1" w:styleId="Style7">
    <w:name w:val="Style7"/>
    <w:basedOn w:val="Normalny"/>
    <w:uiPriority w:val="99"/>
    <w:rsid w:val="00697B67"/>
    <w:pPr>
      <w:widowControl w:val="0"/>
      <w:overflowPunct/>
      <w:spacing w:line="240" w:lineRule="exact"/>
      <w:ind w:firstLine="701"/>
      <w:textAlignment w:val="auto"/>
    </w:pPr>
    <w:rPr>
      <w:rFonts w:eastAsiaTheme="minorEastAsia"/>
      <w:sz w:val="24"/>
      <w:szCs w:val="24"/>
    </w:rPr>
  </w:style>
  <w:style w:type="character" w:customStyle="1" w:styleId="FontStyle16">
    <w:name w:val="Font Style16"/>
    <w:basedOn w:val="Domylnaczcionkaakapitu"/>
    <w:uiPriority w:val="99"/>
    <w:rsid w:val="00697B67"/>
    <w:rPr>
      <w:rFonts w:ascii="Times New Roman" w:hAnsi="Times New Roman" w:cs="Times New Roman" w:hint="default"/>
      <w:b/>
      <w:bCs/>
      <w:color w:val="000000"/>
      <w:sz w:val="18"/>
      <w:szCs w:val="18"/>
    </w:rPr>
  </w:style>
  <w:style w:type="character" w:customStyle="1" w:styleId="FontStyle17">
    <w:name w:val="Font Style17"/>
    <w:basedOn w:val="Domylnaczcionkaakapitu"/>
    <w:uiPriority w:val="99"/>
    <w:rsid w:val="00697B67"/>
    <w:rPr>
      <w:rFonts w:ascii="Times New Roman" w:hAnsi="Times New Roman" w:cs="Times New Roman" w:hint="default"/>
      <w:color w:val="00000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452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8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4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Szablony\ost%201998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B0B4D20-7B75-466F-B5D3-B34BD1178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 1998</Template>
  <TotalTime>35</TotalTime>
  <Pages>1</Pages>
  <Words>1562</Words>
  <Characters>9373</Characters>
  <Application>Microsoft Office Word</Application>
  <DocSecurity>0</DocSecurity>
  <Lines>78</Lines>
  <Paragraphs>21</Paragraphs>
  <ScaleCrop>false</ScaleCrop>
  <HeadingPairs>
    <vt:vector size="6" baseType="variant">
      <vt:variant>
        <vt:lpstr>Tytuł</vt:lpstr>
      </vt:variant>
      <vt:variant>
        <vt:i4>1</vt:i4>
      </vt:variant>
      <vt:variant>
        <vt:lpstr>Nagłówki</vt:lpstr>
      </vt:variant>
      <vt:variant>
        <vt:i4>30</vt:i4>
      </vt:variant>
      <vt:variant>
        <vt:lpstr>D-02.00.00</vt:lpstr>
      </vt:variant>
      <vt:variant>
        <vt:i4>0</vt:i4>
      </vt:variant>
    </vt:vector>
  </HeadingPairs>
  <TitlesOfParts>
    <vt:vector size="31" baseType="lpstr">
      <vt:lpstr>D-02.00.00</vt:lpstr>
      <vt:lpstr>1. WSTĘP</vt:lpstr>
      <vt:lpstr>    1.1.Przedmiot OST</vt:lpstr>
      <vt:lpstr>    1.2. Zakres stosowania OST</vt:lpstr>
      <vt:lpstr>    1.3. Zakres robót objętych OST</vt:lpstr>
      <vt:lpstr>    1.4. Określenia podstawowe</vt:lpstr>
      <vt:lpstr>    1.5. Ogólne wymagania dotyczące robót</vt:lpstr>
      <vt:lpstr>2. MATERIAŁY</vt:lpstr>
      <vt:lpstr>    2.1. Ogólne wymagania dotyczące materiałów</vt:lpstr>
      <vt:lpstr>    2.2. Rusztowania</vt:lpstr>
      <vt:lpstr>3. SPRZĘT</vt:lpstr>
      <vt:lpstr>    3.1. Ogólne wymagania dotyczące sprzętu</vt:lpstr>
      <vt:lpstr>    3.2. Sprzęt do rozbiórki</vt:lpstr>
      <vt:lpstr>4. TRANSPORT</vt:lpstr>
      <vt:lpstr>    4.1. Ogólne wymagania dotyczące transportu</vt:lpstr>
      <vt:lpstr>    4.2. Transport materiałów z rozbiórki</vt:lpstr>
      <vt:lpstr>5. WYKONANIE ROBÓT</vt:lpstr>
      <vt:lpstr>    5.1. Ogólne zasady wykonania robót</vt:lpstr>
      <vt:lpstr>    5.2. Wykonanie robót rozbiórkowych</vt:lpstr>
      <vt:lpstr>6. KONTROLA JAKOŚCI ROBÓT</vt:lpstr>
      <vt:lpstr>    6.1. Ogólne zasady kontroli jakości robót</vt:lpstr>
      <vt:lpstr>    6.2. Kontrola jakości robót rozbiórkowych</vt:lpstr>
      <vt:lpstr>7. OBMIAR ROBÓT</vt:lpstr>
      <vt:lpstr>    7.1. Ogólne zasady obmiaru robót</vt:lpstr>
      <vt:lpstr>    7.2. Jednostka obmiarowa</vt:lpstr>
      <vt:lpstr>8. ODBIÓR ROBÓT</vt:lpstr>
      <vt:lpstr>9. PODSTAWA PŁATNOŚCI</vt:lpstr>
      <vt:lpstr>    9.1. Ogólne ustalenia dotyczące podstawy płatności</vt:lpstr>
      <vt:lpstr>    9.2. Cena jednostki obmiarowej</vt:lpstr>
      <vt:lpstr>10. PRZEPISY ZWIĄZANE</vt:lpstr>
      <vt:lpstr>    Normy</vt:lpstr>
    </vt:vector>
  </TitlesOfParts>
  <Company>Warszawa      Skaryszewska 19</Company>
  <LinksUpToDate>false</LinksUpToDate>
  <CharactersWithSpaces>10914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D-02.00.00</dc:title>
  <dc:subject>ost</dc:subject>
  <dc:creator>BZD BDIM Sp. z o.o.</dc:creator>
  <cp:keywords>specyfikacje, drogi, drogownictwo, ost</cp:keywords>
  <dc:description>Roboty przygotowawcze_x000d_
1998</dc:description>
  <cp:lastModifiedBy>MARWOJ</cp:lastModifiedBy>
  <cp:revision>23</cp:revision>
  <cp:lastPrinted>1998-06-18T15:57:00Z</cp:lastPrinted>
  <dcterms:created xsi:type="dcterms:W3CDTF">2016-01-27T08:52:00Z</dcterms:created>
  <dcterms:modified xsi:type="dcterms:W3CDTF">2018-04-10T09:45:00Z</dcterms:modified>
</cp:coreProperties>
</file>